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eg" ContentType="image/jpeg"/>
  <Default Extension="gif" ContentType="image/gif"/>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E45" w:rsidRPr="00FE4B89" w:rsidRDefault="007A7E45" w:rsidP="00FE4B89">
      <w:bookmarkStart w:id="0" w:name="_GoBack"/>
      <w:bookmarkEnd w:id="0"/>
    </w:p>
    <w:sectPr w:rsidR="007A7E45" w:rsidRPr="00FE4B89" w:rsidSect="00F91724">
      <w:headerReference w:type="default" r:id="rId7"/>
      <w:footerReference w:type="default" r:id="rId8"/>
      <w:type w:val="continuous"/>
      <w:pgSz w:w="11906" w:h="16838"/>
      <w:pgMar w:top="851" w:right="851" w:bottom="851" w:left="851" w:header="709" w:footer="709" w:gutter="0"/>
      <w:cols w:space="708"/>
      <w:docGrid w:linePitch="360"/>
    </w:sectPr>
    <w:p>
      <w:pPr>
        <w:jc w:val="left"/>
        <w:pStyle w:val="Heading1"/>
      </w:pPr>
      <w:r>
        <w:rPr>
          <w:rFonts w:hAnsi="Times New Roman" w:cs="Times New Roman"/>
        </w:rPr>
        <w:t xml:space="preserve">OBRAZLOŽENJE OPĆEG DIJELA FINANCIJSKOG PLANA</w:t>
      </w:r>
    </w:p>
    <w:p>
      <w:pPr>
        <w:jc w:val="left"/>
        <w:pStyle w:val="Heading2"/>
      </w:pPr>
      <w:r>
        <w:rPr>
          <w:rFonts w:hAnsi="Times New Roman" w:cs="Times New Roman"/>
        </w:rPr>
        <w:t xml:space="preserve">06030 Agencija za plaćanja u poljoprivredi, ribarstvu i ruralnom razvoju</w:t>
      </w:r>
    </w:p>
    <w:p>
      <w:pPr>
        <w:jc w:val="both"/>
        <w:pStyle w:val="Normal"/>
      </w:pPr>
      <w:r>
        <w:rPr>
          <w:rFonts w:hAnsi="Times New Roman" w:cs="Times New Roman"/>
        </w:rPr>
        <w:t xml:space="preserve">Sukladno članku 36 Zakona o proračunu (NN 144/21) u ovom obrazloženju daje se opća slika financijskog plana Agencije za plaćanja u poljoprivredi, ribarstvu i ruralnom razvoju kroz obrazloženje ukupnih prihoda, primitaka, rashoda, prijenosa sredstava iz prethodne i u sljedeću godinu, te stanje ukupnih i dospjelih obveza. 
</w:t>
      </w:r>
    </w:p>
    <w:p>
      <w:pPr>
        <w:jc w:val="both"/>
        <w:pStyle w:val="Normal"/>
      </w:pPr>
      <w:r>
        <w:rPr>
          <w:rFonts w:hAnsi="Times New Roman" w:cs="Times New Roman"/>
        </w:rPr>
        <w:t xml:space="preserve">Agencija za plaćanja u poljoprivredi, ribarstvu i ruralnom razvoju u narednom trogodišnjem razdoblju 2026. – 2028.g. planira ostvarivanje prihoda iz slijedećih izvora:
</w:t>
      </w:r>
    </w:p>
    <w:p>
      <w:pPr>
        <w:jc w:val="both"/>
        <w:pStyle w:val="Normal"/>
      </w:pPr>
      <w:r>
        <w:rPr>
          <w:rFonts w:hAnsi="Times New Roman" w:cs="Times New Roman"/>
        </w:rPr>
        <w:t xml:space="preserve">-	Izvor 11 – Opći prihodi i primici – prihodi nadležnog proračuna. U 2026. g. planirani su iznosu od 40.732.890 EUR-a, projekcija za  2027.g. u iznosu od 40.788.616 EUR-a, a u 2028.g. 41.669.323 EUR-a
</w:t>
      </w:r>
    </w:p>
    <w:p>
      <w:pPr>
        <w:jc w:val="both"/>
        <w:pStyle w:val="Normal"/>
      </w:pPr>
      <w:r>
        <w:rPr>
          <w:rFonts w:hAnsi="Times New Roman" w:cs="Times New Roman"/>
        </w:rPr>
        <w:t xml:space="preserve">-	Izvor 12 – Sredstva učešća za pomoći – prihodi nadležnog proračuna za sufinanciranje u definiranim omjerima planirani su 2026.g. u iznosu od 281.494 EUR-a, projekcija za 2027.g. 148.124 EUR-a, a u 2027.g.148.124 eura.
</w:t>
      </w:r>
    </w:p>
    <w:p>
      <w:pPr>
        <w:jc w:val="both"/>
        <w:pStyle w:val="Normal"/>
      </w:pPr>
      <w:r>
        <w:rPr>
          <w:rFonts w:hAnsi="Times New Roman" w:cs="Times New Roman"/>
        </w:rPr>
        <w:t xml:space="preserve">Izvori iz skupine 1 Opći prihodi i primici usklađeni su  sa zadanim limitima sukladno Uputama za izradu prijedloga Državnog proračuna za razdoblje 2026.-2028.g. za razdjel 060
</w:t>
      </w:r>
    </w:p>
    <w:p>
      <w:pPr>
        <w:jc w:val="both"/>
        <w:pStyle w:val="Normal"/>
      </w:pPr>
      <w:r>
        <w:rPr>
          <w:rFonts w:hAnsi="Times New Roman" w:cs="Times New Roman"/>
        </w:rPr>
        <w:t xml:space="preserve">-	Izvor 31 – Vlastiti prihodi – prihodi ostvareni prometom u internom kafiću planiraju se u 2026.g. u iznosu od 23.000 eura, a u 2027. i 2028.g. po 34.000 eura godišnje. Planirani prihod u 2026. je nešto manji jer kafić trenutno nije u funkciji zbog nedostatka djelatnika. Navedeni problem neće biti riješen do 01.01.2026.g. 
</w:t>
      </w:r>
    </w:p>
    <w:p>
      <w:pPr>
        <w:jc w:val="both"/>
        <w:pStyle w:val="Normal"/>
      </w:pPr>
      <w:r>
        <w:rPr>
          <w:rFonts w:hAnsi="Times New Roman" w:cs="Times New Roman"/>
        </w:rPr>
        <w:t xml:space="preserve">-	Izvor 51 – Programi unije – odnosi se refundaciju putnih troškova od strane Europske komisije. Ti prihodi su planirani u svim godinama u istom iznosu od 25.000 EUR-a. U 2027.g. sukladno obavijesti MZOZT o prijenosu sredstava. Agencija je do sada ove prihode prikazivala na izvoru 52 Ostale pomoći, a od ovogodišnjeg ciklusa planiranja iznos doznačen iz programa LIFE i FZOT planiran je na izvoru 51. Prihodi se odnose na projekat CROLIS u kojem je Agencija partner, a Ministarstvo zaštite okoliša i zelene tranzicije nositelj. Novi predviđeni rok trajanja projekta je 31.12.2026.g. Završna isplata projekta od strane LIFE-a biti će nakon predaje završnog izvješća, znači u 2027.g. Planirani prihod u 2027.g. iz ovog projekta iznosi 203.923,00 eura. Od toga 168.297,00 eura od LIFE (izvor 51011) i 35.626,00 od Fonda za zaštitu okoliša (izvor 52). Prihodi i izvori usklađeni su sa Ministarstvom zaštite okoliša i zelene tranzicije, sukladno Uputama.
</w:t>
      </w:r>
    </w:p>
    <w:p>
      <w:pPr>
        <w:jc w:val="both"/>
        <w:pStyle w:val="Normal"/>
      </w:pPr>
      <w:r>
        <w:rPr>
          <w:rFonts w:hAnsi="Times New Roman" w:cs="Times New Roman"/>
        </w:rPr>
        <w:t xml:space="preserve">-	Izvor 564 – Europski fond za pomorstvo i ribarstvo – aktivnosti u vezi s pripremom, praćenjem, administrativnom i tehničkom potporom, ocjenjivanjem, revizijom i kontrolom koje su potrebne za provedbu Uredbe (EU) br. 1303/2013 Europskog parlamenta i Vijeća od 17. prosinca 2013.). Sredstva potpore osiguravaju se u omjeru 70 (sredstva Fonda):30 (državni proračun RH). Sredstva planirana na ovom izvoru u svim godinama 2025-2027. planirana su za svaku godinu po 352.488 EUR-a. Iz ovoga se financira većinom plaća zaposlenika zaposlenih u Službi za analize u ribarstvu.
</w:t>
      </w:r>
    </w:p>
    <w:p>
      <w:pPr>
        <w:jc w:val="both"/>
        <w:pStyle w:val="Normal"/>
      </w:pPr>
      <w:r>
        <w:rPr>
          <w:rFonts w:hAnsi="Times New Roman" w:cs="Times New Roman"/>
        </w:rPr>
        <w:t xml:space="preserve">-	Izvor 565 – Europski poljoprivredni fond za ruralni razvoj -  Prema trenutnim projekcijama tih 50 mil. EUR TP SP ZPP (100% EAFRD) za cijelo programsko razdoblje dostatno je samo za plaće korisnika AP /UT/Mreža te će biti nužno dio troškova koje se niz godina financirao iz TP plaćati iz drugih izvora Državnog proračuna.  
</w:t>
      </w:r>
    </w:p>
    <w:p>
      <w:pPr>
        <w:jc w:val="both"/>
        <w:pStyle w:val="Normal"/>
      </w:pPr>
      <w:r>
        <w:rPr>
          <w:rFonts w:hAnsi="Times New Roman" w:cs="Times New Roman"/>
        </w:rPr>
        <w:t xml:space="preserve">RASHODI I IZDACI
</w:t>
      </w:r>
    </w:p>
    <w:p>
      <w:pPr>
        <w:jc w:val="both"/>
        <w:pStyle w:val="Normal"/>
      </w:pPr>
      <w:r>
        <w:rPr>
          <w:rFonts w:hAnsi="Times New Roman" w:cs="Times New Roman"/>
        </w:rPr>
        <w:t xml:space="preserve">Ukupno planirani rashodi u planiranom razdoblju manji su u odnosu na prethodno razdoblje. Smanjenje je evidentirano na svim vrstama rashoda. Do smanjenje je došlo zbog primjene limita. Realne potrebe su veće. S danom 30.06.2025.g. završilo je razdoblje korištenje Tehničke pomoći iz Programa ruralnog razvoja razdoblje 2014.-2020. koje je uključivalo i prijelazno razdoblje 2021. i 2022.g. Iako je Strateški plan donesen za razdoblje 2023. – 2027. nastavak financiranja troškova tehničke pomoći (TP) tijekom razdoblja 2023. – 2025. godine predviđen je sredstvima iz Programa u skladu s izmjenom podnesenom 29. prosinca 2023. godine koju je EK odobrila 12. ožujka 2024. godine. Sredstva potpore Programa osiguravala su se iz proračuna Europske unije i to iz Europskog poljoprivrednog fonda za ruralni razvoj (EPFRR) s udjelom od 85% i državnog proračuna Republike Hrvatske s udjelom od 15%. Intenzitet potpore iznosi do 100% od ukupnih prihvatljivih troškova. Sredstvima mjere TP financirale su se aktivnosti koje se odnose na pripremu, upravljanje i unaprjeđenje upravljanja, praćenje i vrednovanje Programa, informiranje i komunikaciju o Programu, umrežavanje, rješavanje po žalbama korisnika Programa, kontrole i revizije Programa kao i aktivnosti za pripremu i provedbu Strateškog plana. Također, također je bilo moguće financiranje aktivnosti za smanjenje administrativnog tereta za korisnike i posebne aktivnosti za jačanje administrativnih kapaciteta sustava i korisnika za upravljanja i kontrole Programa i Strateškog plana.
</w:t>
      </w:r>
    </w:p>
    <w:p>
      <w:pPr>
        <w:jc w:val="both"/>
        <w:pStyle w:val="Normal"/>
      </w:pPr>
      <w:r>
        <w:rPr>
          <w:rFonts w:hAnsi="Times New Roman" w:cs="Times New Roman"/>
        </w:rPr>
        <w:t xml:space="preserve">Iz Tehničke pomoći PRR financirani su između ostalog: plaće zaposlenika, nadogradnja i održavanje računalnih programa, računalna oprema, režijski troškovi. Sve navedeno je bitno rasteretilo proračun Agencije na izvorima Općih izdataka i primitaka.
</w:t>
      </w:r>
    </w:p>
    <w:p>
      <w:pPr>
        <w:jc w:val="both"/>
        <w:pStyle w:val="Normal"/>
      </w:pPr>
      <w:r>
        <w:rPr>
          <w:rFonts w:hAnsi="Times New Roman" w:cs="Times New Roman"/>
        </w:rPr>
        <w:t xml:space="preserve">Od 1. srpnja 2025. Agencija za plaćanja otvorila je novu aktivnost u okviru svog proračuna. A841011 Tehnička pomoć – SP ZPP 2023.-2027. Prelazak na financiranje iz TP SP ZPP u kojemu se za korištenje Tehničke pomoći koristi novi model financiranja tzv. flat rate. Prema flat rate od iznosa koji će biti prijavljeni isključivo za ruralne intervencije, za TP SP ZPP će se refundirati 3,43 % sredstava što iznosi maksimalnu alokaciju od 50 mil. EUR koja će korisnicima TP biti na raspolaganju kroz sljedeće 4,5 godine, s obzirom da razdoblje u kojem se troše sredstva SP ZPP traje do 2029. godine zbog n+2. Radi se o isključivo EU izvoru financiranja (100% EAFRD = izvor 565). Navedeni iznos neće biti dostatan za financiranje potreba TP u dosadašnjem obujmu za sva 3 korisnika. Stoga je u 2026.g., 2027. i 2028.g. Agencija planira iz ove aktivnosti najvećim djelom financirati rashode za zaposlene, a svi ostali troškovi financirat će se iz Općih prihoda i primitaka koji ulaze u limite.
</w:t>
      </w:r>
    </w:p>
    <w:p>
      <w:pPr>
        <w:jc w:val="both"/>
        <w:pStyle w:val="Normal"/>
      </w:pPr>
      <w:r>
        <w:rPr>
          <w:rFonts w:hAnsi="Times New Roman" w:cs="Times New Roman"/>
        </w:rPr>
        <w:t xml:space="preserve">Iz navedenog razloga, proračun Agencije za plaćanja za 2026., 2027. i 2028.g. manji je od trenutnog proračuna i prihvaćenih projekcija. 
</w:t>
      </w:r>
    </w:p>
    <w:p>
      <w:pPr>
        <w:jc w:val="both"/>
        <w:pStyle w:val="Normal"/>
      </w:pPr>
      <w:r>
        <w:rPr>
          <w:rFonts w:hAnsi="Times New Roman" w:cs="Times New Roman"/>
        </w:rPr>
        <w:t xml:space="preserve">U 2026.g. prihvatljivi rashodi vezani uz projekt CROLIS financirat će se iz izvora 11 i u planu proračuna evidentirani su na izvoru 51011.
</w:t>
      </w:r>
    </w:p>
    <w:p>
      <w:pPr>
        <w:jc w:val="both"/>
        <w:pStyle w:val="Normal"/>
      </w:pPr>
      <w:r>
        <w:rPr>
          <w:rFonts w:hAnsi="Times New Roman" w:cs="Times New Roman"/>
        </w:rPr>
        <w:t xml:space="preserve">Ukupno smanjenje rashoda 2026.g. u odnosu na planiranu realizaciju u 2025.g. iznosi 3,5%.
</w:t>
      </w:r>
    </w:p>
    <w:p>
      <w:pPr>
        <w:jc w:val="both"/>
        <w:pStyle w:val="Normal"/>
      </w:pPr>
      <w:r>
        <w:rPr>
          <w:rFonts w:hAnsi="Times New Roman" w:cs="Times New Roman"/>
        </w:rPr>
        <w:t xml:space="preserve">Najveća promjena na rashodovnoj strani u odnosu na prethodne godine, odnosi se na računalne programe. Ulaganja u računalne programe Agencija je do sada evidentirala je na kontu 3238 računalne usluge. Temeljem preporuke Državne revizije, Agencija će s danom 31.12.2025.g. iste evidentirati na razredu 0 – Nefinancijska imovina, 0124 Ostala prava.
</w:t>
      </w:r>
    </w:p>
    <w:p>
      <w:pPr>
        <w:jc w:val="both"/>
        <w:pStyle w:val="Normal"/>
      </w:pPr>
      <w:r>
        <w:rPr>
          <w:rFonts w:hAnsi="Times New Roman" w:cs="Times New Roman"/>
        </w:rPr>
        <w:t xml:space="preserve">Stoga su u proračunu za naredne tri godine znatno smanjeni rashodi na skupini 32 Materijalni rashodi, a povećani na razredu 4. Navedeni rashodi u narednom trogodišnjem razdoblju planirani su skupini 412 Nematerijalna imovina, K84102 INFORMATIZACIJA. 
</w:t>
      </w:r>
    </w:p>
    <w:p>
      <w:pPr>
        <w:jc w:val="both"/>
        <w:pStyle w:val="Normal"/>
      </w:pPr>
      <w:r>
        <w:rPr>
          <w:rFonts w:hAnsi="Times New Roman" w:cs="Times New Roman"/>
        </w:rPr>
        <w:t xml:space="preserve">
</w:t>
      </w:r>
    </w:p>
    <w:p>
      <w:pPr>
        <w:jc w:val="both"/>
        <w:pStyle w:val="Normal"/>
      </w:pPr>
      <w:r>
        <w:rPr>
          <w:rFonts w:hAnsi="Times New Roman" w:cs="Times New Roman"/>
        </w:rPr>
        <w:t xml:space="preserve">PRIJENOS SREDSTAVA IZ PRETHODNE I U SLJEDEĆU GODINU
</w:t>
      </w:r>
    </w:p>
    <w:p>
      <w:pPr>
        <w:jc w:val="both"/>
        <w:pStyle w:val="Normal"/>
      </w:pPr>
      <w:r>
        <w:rPr>
          <w:rFonts w:hAnsi="Times New Roman" w:cs="Times New Roman"/>
        </w:rPr>
        <w:t xml:space="preserve">Agencija za plaćanja u poljoprivredi, ribarstvu i ruralnom razvoju kao partner u projektu CROLIS u 2025.g. zaprimila je od Ministarstva zaštite okoliša i zelene tranzicije 204.316,00 eura. Sva sredstva isplaćene su od strane LIFE temeljem Zahtjeva za isplatu s danom 31.12.2024.g. U 2026.g. donos će biti evidentiran na izvoru 5052, a odnose se na sredstva Fonda za zaštitu okoliša iz projekta CROLIS. Sredstva su evidentirana na ovom izvoru zbog promijene propisa i načina evidentiranja izvora poslovanja koje stupaju na snagu s danom 01.01.2026.g.
</w:t>
      </w:r>
    </w:p>
    <w:p>
      <w:pPr>
        <w:jc w:val="both"/>
        <w:pStyle w:val="Normal"/>
      </w:pPr>
      <w:r>
        <w:rPr>
          <w:rFonts w:hAnsi="Times New Roman" w:cs="Times New Roman"/>
        </w:rPr>
        <w:t xml:space="preserve">Novi predviđeni rok trajanja projekta je 31.12.2026.g. U 2026.g. prihvatljivi rashodi vezani uz projekt financirat će se iz izvora 11 i u planu proračuna evidentirani su na izvoru 51011. Završna isplata projekta od strane LIFE-a biti će nakon predaje završnog izvješća, znači u 2027.g. Planirani prihod u 2027.g. iz ovog projekta iznosi 203.923,00 eura. Od toga 168.297,00 eura od LIFE (izvor 51011) i 35.626,00 od Fonda za zaštitu okoliša (izvor 52).   
</w:t>
      </w:r>
    </w:p>
    <w:p>
      <w:pPr>
        <w:jc w:val="both"/>
        <w:pStyle w:val="Normal"/>
      </w:pPr>
      <w:r>
        <w:rPr>
          <w:rFonts w:hAnsi="Times New Roman" w:cs="Times New Roman"/>
        </w:rPr>
        <w:t xml:space="preserve">Prihodi i izvori usklađeni su sa Ministarstvom zaštite okoliša i zelene tranzicije, sukladno Uputama.
</w:t>
      </w:r>
    </w:p>
    <w:p>
      <w:pPr>
        <w:jc w:val="both"/>
        <w:pStyle w:val="Normal"/>
      </w:pPr>
      <w:r>
        <w:rPr>
          <w:rFonts w:hAnsi="Times New Roman" w:cs="Times New Roman"/>
        </w:rPr>
        <w:t xml:space="preserve">Ostatak prijenosa sredstava planirana je na izvoru 31 Vlastiti prihodi. Radi se o naplaćenim prihodima u prethodnim godinama iz kojih će se u idućim godinama financirati rashodi kojima je dospijeće početkom iduće godine.
</w:t>
      </w:r>
    </w:p>
    <w:p>
      <w:pPr>
        <w:jc w:val="both"/>
        <w:pStyle w:val="Normal"/>
      </w:pPr>
      <w:r>
        <w:rPr>
          <w:rFonts w:hAnsi="Times New Roman" w:cs="Times New Roman"/>
        </w:rPr>
        <w:t xml:space="preserve">
</w:t>
      </w:r>
    </w:p>
    <w:p>
      <w:pPr>
        <w:jc w:val="both"/>
        <w:pStyle w:val="Normal"/>
      </w:pPr>
      <w:r>
        <w:rPr>
          <w:rFonts w:hAnsi="Times New Roman" w:cs="Times New Roman"/>
        </w:rPr>
        <w:t xml:space="preserve">UKUPNE I DOSPJELE OBVEZE
</w:t>
      </w:r>
    </w:p>
    <w:p>
      <w:pPr>
        <w:jc w:val="both"/>
        <w:pStyle w:val="Normal"/>
      </w:pPr>
      <w:r>
        <w:rPr>
          <w:rFonts w:hAnsi="Times New Roman" w:cs="Times New Roman"/>
        </w:rPr>
        <w:t xml:space="preserve">Na dan 30.06.2025. nije bilo dospjelih obveza.</w:t>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E45" w:rsidRDefault="007A7E45" w:rsidP="00F352E6">
      <w:r>
        <w:separator/>
      </w:r>
    </w:p>
  </w:endnote>
  <w:endnote w:type="continuationSeparator" w:id="0">
    <w:p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Pr="00D769ED" w:rsidRDefault="00FE4B89"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E45" w:rsidRDefault="007A7E45" w:rsidP="00F352E6">
      <w:r>
        <w:separator/>
      </w:r>
    </w:p>
  </w:footnote>
  <w:footnote w:type="continuationSeparator" w:id="0">
    <w:p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Default="00FE4B89"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63609"/>
    <w:rsid w:val="00480C76"/>
    <w:rsid w:val="004C01B5"/>
    <w:rsid w:val="0052289C"/>
    <w:rsid w:val="00524A66"/>
    <w:rsid w:val="00526A7C"/>
    <w:rsid w:val="005A70C0"/>
    <w:rsid w:val="005B6ED7"/>
    <w:rsid w:val="005E2D85"/>
    <w:rsid w:val="00633683"/>
    <w:rsid w:val="00674346"/>
    <w:rsid w:val="006B3283"/>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10" Type="http://schemas.openxmlformats.org/officeDocument/2006/relationships/theme" Target="theme/theme1.xml" />
  <Relationship Id="rId4" Type="http://schemas.openxmlformats.org/officeDocument/2006/relationships/webSettings" Target="webSettings.xml" />
  <Relationship Id="rId9"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Anita Marasović</cp:lastModifiedBy>
  <cp:revision>14</cp:revision>
  <dcterms:created xsi:type="dcterms:W3CDTF">2016-10-28T08:23:00Z</dcterms:created>
  <dcterms:modified xsi:type="dcterms:W3CDTF">2016-11-09T08:08:00Z</dcterms:modified>
</cp:coreProperties>
</file>